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СИСТЕМА ИНТЕЛЛЕКТУАЛЬНОГО УЧЕТА ЖИЗНЕННОГО ЦИКЛА АКТИВОВ И ПРЕДИКТИВНОЙ АНАЛИТИКИ ТОВАРНО-ДЕНЕЖНЫХ ПОТОКОВ «ЗЕВС»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ЛИЦЕНЗИОННОЕ СОГЛАШЕНИЕ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https://arm-zevs.ru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https://user.arm-zevs.ru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https://arm-zevs.ru/docs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Предмет соглашения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Права на программный продукт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Объем предоставляемых прав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Ограничения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Обновления и новые версии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Техническая поддержка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Ответственность сторон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Срок действия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Предмет соглашения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Настоящее лицензионное соглашение является документом, регулирующим порядок использования программного продукта «ЗЕВС» между правообладателем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 xml:space="preserve"> и пользователем, правомерно получившим доступ к экземпляру программного продукта.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Используя программный продукт, пользователь подтверждает согласие с условиями настоящего соглашения. Если пользователь не согласен с условиями, он не вправе использовать программный продукт.</w:t>
      </w:r>
    </w:p>
    <w:p>
      <w:pPr>
        <w:pStyle w:val="Heading1"/>
      </w:pPr>
      <w:r>
        <w:rPr>
          <w:rFonts w:ascii="Arial" w:hAnsi="Arial" w:eastAsia="Arial"/>
          <w:sz w:val="22"/>
        </w:rPr>
        <w:t>2. Права на программный продукт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Исключительные права на программный продукт, его исходный код, документацию, интерфейсные решения, структуру данных и иные охраняемые элементы принадлежат правообладателю, если иное не указано в отдельном договоре.</w:t>
      </w:r>
    </w:p>
    <w:p>
      <w:pPr>
        <w:pStyle w:val="Heading1"/>
      </w:pPr>
      <w:r>
        <w:rPr>
          <w:rFonts w:ascii="Arial" w:hAnsi="Arial" w:eastAsia="Arial"/>
          <w:sz w:val="22"/>
        </w:rPr>
        <w:t>3. Объем предоставляемых прав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Пользователю предоставляется неисключительное право использования программного продукта в пределах, определенных договором, учетной записью, тарифом или иным документом, оформленным правообладателем.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доступ к WEB-интерфейсу программного продукта;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использование функций, доступных в соответствии с ролью пользователя;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просмотр и обработка данных в рамках предоставленных прав;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получение обновлений и исправлений в порядке, установленном правообладателем;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использование эксплуатационной документации для работы с программным продуктом.</w:t>
      </w:r>
    </w:p>
    <w:p>
      <w:pPr>
        <w:pStyle w:val="Heading1"/>
      </w:pPr>
      <w:r>
        <w:rPr>
          <w:rFonts w:ascii="Arial" w:hAnsi="Arial" w:eastAsia="Arial"/>
          <w:sz w:val="22"/>
        </w:rPr>
        <w:t>4. Ограничения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копировать, декомпилировать, модифицировать или распространять программный продукт без разрешения правообладателя;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передавать учетные данные третьим лицам;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предпринимать попытки обхода механизмов авторизации, RLS-политик и разграничения доступа;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удалять сведения об авторских правах, правообладателе или иных реквизитах программного продукта;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использовать программный продукт способом, нарушающим законодательство Российской Федерации.</w:t>
      </w:r>
    </w:p>
    <w:p>
      <w:pPr>
        <w:pStyle w:val="Heading1"/>
      </w:pPr>
      <w:r>
        <w:rPr>
          <w:rFonts w:ascii="Arial" w:hAnsi="Arial" w:eastAsia="Arial"/>
          <w:sz w:val="22"/>
        </w:rPr>
        <w:t>5. Обновления и новые версии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Действие настоящего соглашения распространяется на обновления, исправления и новые версии программного продукта, если соответствующее обновление не сопровождается отдельным лицензионным соглашением.</w:t>
      </w:r>
    </w:p>
    <w:p>
      <w:pPr>
        <w:pStyle w:val="Heading1"/>
      </w:pPr>
      <w:r>
        <w:rPr>
          <w:rFonts w:ascii="Arial" w:hAnsi="Arial" w:eastAsia="Arial"/>
          <w:sz w:val="22"/>
        </w:rPr>
        <w:t>6. Техническая поддержка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Порядок оказания технической поддержки определяется правообладателем, тарифом, договором или регламентом сопровождения. Техническая поддержка может включать консультации, устранение ошибок, обновления и предоставление актуальной документации.</w:t>
      </w:r>
    </w:p>
    <w:p>
      <w:pPr>
        <w:pStyle w:val="Heading1"/>
      </w:pPr>
      <w:r>
        <w:rPr>
          <w:rFonts w:ascii="Arial" w:hAnsi="Arial" w:eastAsia="Arial"/>
          <w:sz w:val="22"/>
        </w:rPr>
        <w:t>7. Ответственность сторон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правообладатель принимает меры для обеспечения работоспособности программного продукта в соответствии с документацией;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правообладатель не несет ответственности за ущерб, возникший вследствие некорректной эксплуатации, передачи учетных данных третьим лицам или несанкционированного вмешательства;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пользователь отвечает за корректность вводимых данных и соблюдение правил доступа;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 нарушение исключительных прав наступает ответственность в соответствии с законодательством Российской Федерации.</w:t>
      </w:r>
    </w:p>
    <w:p>
      <w:pPr>
        <w:pStyle w:val="Heading1"/>
      </w:pPr>
      <w:r>
        <w:rPr>
          <w:rFonts w:ascii="Arial" w:hAnsi="Arial" w:eastAsia="Arial"/>
          <w:sz w:val="22"/>
        </w:rPr>
        <w:t>8. Срок действия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Соглашение действует с момента начала использования программного продукта и до прекращения правомерного доступа пользователя к программному продукту.</w:t>
      </w:r>
    </w:p>
    <w:p>
      <w:pPr>
        <w:pStyle w:val="Heading1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Все вопросы, не урегулированные настоящим соглашением, регулируются законодательством Российской Федерации и отдельными договорами между правообладателем и пользователем/заказчиком.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«ЗЕВС»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